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C41" w:rsidRDefault="00861C41">
      <w:pPr>
        <w:pStyle w:val="a3"/>
        <w:rPr>
          <w:sz w:val="11"/>
        </w:rPr>
      </w:pPr>
    </w:p>
    <w:p w:rsidR="00861C41" w:rsidRDefault="00861C41">
      <w:pPr>
        <w:pStyle w:val="a3"/>
        <w:ind w:left="1694"/>
        <w:rPr>
          <w:sz w:val="20"/>
        </w:rPr>
      </w:pPr>
    </w:p>
    <w:p w:rsidR="00861C41" w:rsidRDefault="00FC5BE2">
      <w:pPr>
        <w:pStyle w:val="a3"/>
        <w:spacing w:before="1"/>
        <w:ind w:left="158" w:right="169" w:firstLine="851"/>
        <w:jc w:val="both"/>
      </w:pPr>
      <w:r>
        <w:t>В течение 2023 года</w:t>
      </w:r>
      <w:r>
        <w:t xml:space="preserve"> обстановка с детским дорожно-транспортным травматизмом осталась напряжённой, количество дорожно-транспортных происшествий осталось на уровне 2022 года (528), число раненых уменьшилось лишь незначительно – на 0,7% (с 583 до 579), а число</w:t>
      </w:r>
      <w:r>
        <w:rPr>
          <w:spacing w:val="40"/>
        </w:rPr>
        <w:t xml:space="preserve"> </w:t>
      </w:r>
      <w:r>
        <w:t>погибших детей уве</w:t>
      </w:r>
      <w:r>
        <w:t xml:space="preserve">личилось на 46% (с 13 </w:t>
      </w:r>
      <w:proofErr w:type="gramStart"/>
      <w:r>
        <w:t>до</w:t>
      </w:r>
      <w:proofErr w:type="gramEnd"/>
      <w:r>
        <w:t xml:space="preserve"> 19). Тяжесть последствий в таких ДТП возросла с 2,2 до 3,2 погибших на 100 пострадавших.</w:t>
      </w:r>
    </w:p>
    <w:p w:rsidR="00861C41" w:rsidRDefault="00FC5BE2">
      <w:pPr>
        <w:pStyle w:val="a3"/>
        <w:ind w:left="158" w:right="168" w:firstLine="851"/>
        <w:jc w:val="both"/>
      </w:pPr>
      <w:r>
        <w:t>Рост ДТП допущен на территории 21 муниципалитета. В течени</w:t>
      </w:r>
      <w:proofErr w:type="gramStart"/>
      <w:r>
        <w:t>и</w:t>
      </w:r>
      <w:proofErr w:type="gramEnd"/>
      <w:r>
        <w:t xml:space="preserve"> нескольких месяцев подряд отмечается рост детского дорожно- транспортного травмати</w:t>
      </w:r>
      <w:r>
        <w:t xml:space="preserve">зма: в </w:t>
      </w:r>
      <w:proofErr w:type="spellStart"/>
      <w:r>
        <w:t>г.о.г</w:t>
      </w:r>
      <w:proofErr w:type="spellEnd"/>
      <w:r>
        <w:t xml:space="preserve">. Дзержинск (12 месяцев), </w:t>
      </w:r>
      <w:proofErr w:type="spellStart"/>
      <w:r>
        <w:t>Ковернинском</w:t>
      </w:r>
      <w:proofErr w:type="spellEnd"/>
      <w:r>
        <w:t xml:space="preserve"> (9 месяцев), Сосновском (9 месяцев), </w:t>
      </w:r>
      <w:proofErr w:type="spellStart"/>
      <w:r>
        <w:t>Лукояновском</w:t>
      </w:r>
      <w:proofErr w:type="spellEnd"/>
      <w:r>
        <w:t xml:space="preserve"> (8 месяцев), </w:t>
      </w:r>
      <w:proofErr w:type="spellStart"/>
      <w:r>
        <w:t>Сергачском</w:t>
      </w:r>
      <w:proofErr w:type="spellEnd"/>
      <w:r>
        <w:t xml:space="preserve"> (6 месяцев), </w:t>
      </w:r>
      <w:proofErr w:type="spellStart"/>
      <w:r>
        <w:t>Сеченовском</w:t>
      </w:r>
      <w:proofErr w:type="spellEnd"/>
      <w:r>
        <w:t xml:space="preserve"> (6 месяцев) и Вознесенском (5 месяцев) округах.</w:t>
      </w:r>
    </w:p>
    <w:p w:rsidR="00861C41" w:rsidRDefault="00FC5BE2">
      <w:pPr>
        <w:pStyle w:val="a3"/>
        <w:ind w:left="158" w:right="168" w:firstLine="851"/>
        <w:jc w:val="both"/>
      </w:pPr>
      <w:r>
        <w:t>Гибель детей была зафиксирована на территории городов Нижн</w:t>
      </w:r>
      <w:r>
        <w:t xml:space="preserve">его Новгорода, Дзержинска, Арзамаса, Бора, </w:t>
      </w:r>
      <w:proofErr w:type="spellStart"/>
      <w:r>
        <w:t>Ардатовского</w:t>
      </w:r>
      <w:proofErr w:type="spellEnd"/>
      <w:r>
        <w:t xml:space="preserve">, Вознесенского, Володарского, Воротынского, </w:t>
      </w:r>
      <w:proofErr w:type="spellStart"/>
      <w:r>
        <w:t>Кстовского</w:t>
      </w:r>
      <w:proofErr w:type="spellEnd"/>
      <w:r>
        <w:t xml:space="preserve">, </w:t>
      </w:r>
      <w:proofErr w:type="spellStart"/>
      <w:r>
        <w:t>Лысковского</w:t>
      </w:r>
      <w:proofErr w:type="spellEnd"/>
      <w:r>
        <w:t xml:space="preserve">, Спасского и </w:t>
      </w:r>
      <w:proofErr w:type="spellStart"/>
      <w:r>
        <w:t>Уренского</w:t>
      </w:r>
      <w:proofErr w:type="spellEnd"/>
      <w:r>
        <w:t xml:space="preserve"> округов. На территории городского округа Воротынского количество погибших в дорожно-транспортных происшествия</w:t>
      </w:r>
      <w:r>
        <w:t xml:space="preserve">х детей растёт на протяжении последних 2 лет. В </w:t>
      </w:r>
      <w:proofErr w:type="spellStart"/>
      <w:r>
        <w:t>г</w:t>
      </w:r>
      <w:proofErr w:type="gramStart"/>
      <w:r>
        <w:t>.А</w:t>
      </w:r>
      <w:proofErr w:type="gramEnd"/>
      <w:r>
        <w:t>рзамасе</w:t>
      </w:r>
      <w:proofErr w:type="spellEnd"/>
      <w:r>
        <w:t>, Бор и Вознесенском округе дети погибли по собственной неосторожности.</w:t>
      </w:r>
    </w:p>
    <w:p w:rsidR="00861C41" w:rsidRDefault="00FC5BE2" w:rsidP="00FC5BE2">
      <w:pPr>
        <w:pStyle w:val="a3"/>
        <w:ind w:left="158" w:right="168" w:firstLine="851"/>
        <w:jc w:val="both"/>
      </w:pPr>
      <w:r>
        <w:t>Несмотря на то, что в целом по области число ДТП с участием несовершеннолетних пешеходов сократилось на 7,3% (с 220 до 204), р</w:t>
      </w:r>
      <w:r>
        <w:t xml:space="preserve">ост подобных происшествий зарегистрирован в </w:t>
      </w:r>
      <w:proofErr w:type="spellStart"/>
      <w:r>
        <w:t>г</w:t>
      </w:r>
      <w:proofErr w:type="gramStart"/>
      <w:r>
        <w:t>.Н</w:t>
      </w:r>
      <w:proofErr w:type="gramEnd"/>
      <w:r>
        <w:t>ижнем</w:t>
      </w:r>
      <w:proofErr w:type="spellEnd"/>
      <w:r>
        <w:t xml:space="preserve"> Новгороде, </w:t>
      </w:r>
      <w:proofErr w:type="spellStart"/>
      <w:r>
        <w:t>г.Шахунья</w:t>
      </w:r>
      <w:proofErr w:type="spellEnd"/>
      <w:r>
        <w:t xml:space="preserve"> </w:t>
      </w:r>
      <w:r>
        <w:t xml:space="preserve">и </w:t>
      </w:r>
      <w:proofErr w:type="spellStart"/>
      <w:r>
        <w:t>Ардатовском</w:t>
      </w:r>
      <w:proofErr w:type="spellEnd"/>
      <w:r>
        <w:t xml:space="preserve"> муниципальном округе. В 53 случаях дорожно-транспортные происшествия происходили в тёмное время суток, в 47 случаях несовершеннолетние пешеходы находили</w:t>
      </w:r>
      <w:r>
        <w:t xml:space="preserve">сь без </w:t>
      </w:r>
      <w:proofErr w:type="spellStart"/>
      <w:r>
        <w:t>световозвращающих</w:t>
      </w:r>
      <w:proofErr w:type="spellEnd"/>
      <w:r>
        <w:t xml:space="preserve"> </w:t>
      </w:r>
      <w:r>
        <w:rPr>
          <w:spacing w:val="-2"/>
        </w:rPr>
        <w:t>элементов.</w:t>
      </w:r>
    </w:p>
    <w:p w:rsidR="00861C41" w:rsidRDefault="00FC5BE2">
      <w:pPr>
        <w:pStyle w:val="a3"/>
        <w:ind w:left="158" w:right="168" w:firstLine="851"/>
        <w:jc w:val="both"/>
      </w:pPr>
      <w:r>
        <w:t>Кроме того, вызывает серьезную озабоченность высокий уровень происшествий при нахождении детей на безопасных маршрутах «До</w:t>
      </w:r>
      <w:proofErr w:type="gramStart"/>
      <w:r>
        <w:t>м-</w:t>
      </w:r>
      <w:proofErr w:type="gramEnd"/>
      <w:r>
        <w:t xml:space="preserve"> Школа-Дом». По итогам года зарегистрировано 58 подобных случаев.</w:t>
      </w:r>
    </w:p>
    <w:p w:rsidR="00861C41" w:rsidRDefault="00FC5BE2">
      <w:pPr>
        <w:pStyle w:val="a3"/>
        <w:spacing w:before="1"/>
        <w:ind w:left="158" w:right="172" w:firstLine="851"/>
        <w:jc w:val="both"/>
      </w:pPr>
      <w:r>
        <w:t>В отчетном периоде отмечен рост на 1,4% (с 207 до 210) числа дорожных происшествий с участием детей-пассажиров. Их удельный вес составляет 39,8% от общего числа дорожных происшествий с несовершеннолетними. При этом в 6 автоавариях 8 несовершеннолетних пасс</w:t>
      </w:r>
      <w:r>
        <w:t>ажиров погибли в результате нарушения требований к их перевозке.</w:t>
      </w:r>
    </w:p>
    <w:p w:rsidR="00861C41" w:rsidRDefault="00FC5BE2">
      <w:pPr>
        <w:pStyle w:val="a3"/>
        <w:ind w:left="158" w:right="166" w:firstLine="851"/>
        <w:jc w:val="both"/>
      </w:pPr>
      <w:r>
        <w:t>Вызывает беспокойство тот факт, что в 40% (85 случаев) дорожн</w:t>
      </w:r>
      <w:proofErr w:type="gramStart"/>
      <w:r>
        <w:t>о-</w:t>
      </w:r>
      <w:proofErr w:type="gramEnd"/>
      <w:r>
        <w:t xml:space="preserve"> транспортных происшествий виновниками являлись взрослые участники дорожного движения, перевозившие несовершеннолетних пассажиро</w:t>
      </w:r>
      <w:r>
        <w:t>в. Наиболее распространённым нарушением в данных автоавариях явился скоростной фактор (несоответствие скорости конкретным условиям</w:t>
      </w:r>
      <w:r>
        <w:rPr>
          <w:spacing w:val="40"/>
        </w:rPr>
        <w:t xml:space="preserve"> </w:t>
      </w:r>
      <w:r>
        <w:t>движения либо её превышение) - 40 ДТП. Высокий уровень готовности водителей, перевозивших детей с нарушениями правил дорожног</w:t>
      </w:r>
      <w:r>
        <w:t>о движения, свидетельствует о необходимости целенаправленного формирования у родителей</w:t>
      </w:r>
      <w:r>
        <w:rPr>
          <w:spacing w:val="-2"/>
        </w:rPr>
        <w:t xml:space="preserve"> </w:t>
      </w:r>
      <w:r>
        <w:t>несовершеннолетних</w:t>
      </w:r>
      <w:r>
        <w:rPr>
          <w:spacing w:val="-2"/>
        </w:rPr>
        <w:t xml:space="preserve"> </w:t>
      </w:r>
      <w:r>
        <w:t>безопасной модели</w:t>
      </w:r>
      <w:r>
        <w:rPr>
          <w:spacing w:val="-3"/>
        </w:rPr>
        <w:t xml:space="preserve"> </w:t>
      </w:r>
      <w:r>
        <w:t>управления транспортом, что может осуществляться в форме целевых бесед при проведении родительских собраний, в том числе с привлечен</w:t>
      </w:r>
      <w:r>
        <w:t>ием специалистов в области безопасности дорожного движения. В 2023 году сотрудники ГИ</w:t>
      </w:r>
      <w:proofErr w:type="gramStart"/>
      <w:r>
        <w:t>БДД пр</w:t>
      </w:r>
      <w:proofErr w:type="gramEnd"/>
      <w:r>
        <w:t xml:space="preserve">иглашались для участия в родительских собраниях 892 раза. Несмотря на то, что это на 70% больше, чем в 2022 году в среднем на 1 школу </w:t>
      </w:r>
      <w:r>
        <w:lastRenderedPageBreak/>
        <w:t>приходилось 1 посещение в год.</w:t>
      </w:r>
    </w:p>
    <w:p w:rsidR="00861C41" w:rsidRDefault="00FC5BE2">
      <w:pPr>
        <w:pStyle w:val="a3"/>
        <w:ind w:left="158" w:right="170" w:firstLine="851"/>
        <w:jc w:val="both"/>
      </w:pPr>
      <w:r>
        <w:t xml:space="preserve">Несмотря на снижение на 14,1% (с 64 до 55) числа аварий с участием несовершеннолетних велосипедистов, случаи </w:t>
      </w:r>
      <w:proofErr w:type="spellStart"/>
      <w:r>
        <w:t>травмирования</w:t>
      </w:r>
      <w:proofErr w:type="spellEnd"/>
      <w:r>
        <w:t xml:space="preserve"> детей при управлении велосипедом зарегистрированы в 22 муниципальных округах региона. Причем более половины (60%) данных происшествий</w:t>
      </w:r>
      <w:r>
        <w:t xml:space="preserve"> произошли</w:t>
      </w:r>
      <w:r>
        <w:rPr>
          <w:spacing w:val="40"/>
        </w:rPr>
        <w:t xml:space="preserve"> </w:t>
      </w:r>
      <w:r>
        <w:t>из-за неосторожного поведения самих подростков.</w:t>
      </w:r>
    </w:p>
    <w:p w:rsidR="00861C41" w:rsidRDefault="00FC5BE2">
      <w:pPr>
        <w:pStyle w:val="a3"/>
        <w:spacing w:before="1"/>
        <w:ind w:left="158" w:right="168" w:firstLine="851"/>
        <w:jc w:val="both"/>
      </w:pPr>
      <w:r>
        <w:t>В отчетном периоде отмечен рост автоаварий с участием несовершеннолетних водителей на 68,1% (с 47 до 79 ДТП). В большинстве ДТП несовершеннолетние водители получили ранения из-за собственного неост</w:t>
      </w:r>
      <w:r>
        <w:t>орожного</w:t>
      </w:r>
      <w:r>
        <w:rPr>
          <w:spacing w:val="19"/>
        </w:rPr>
        <w:t xml:space="preserve"> </w:t>
      </w:r>
      <w:r>
        <w:t>поведения.</w:t>
      </w:r>
      <w:r>
        <w:rPr>
          <w:spacing w:val="23"/>
        </w:rPr>
        <w:t xml:space="preserve"> </w:t>
      </w:r>
      <w:r>
        <w:t>Зарегистрировано</w:t>
      </w:r>
      <w:r>
        <w:rPr>
          <w:spacing w:val="25"/>
        </w:rPr>
        <w:t xml:space="preserve"> </w:t>
      </w:r>
      <w:r>
        <w:t>61</w:t>
      </w:r>
      <w:r>
        <w:rPr>
          <w:spacing w:val="24"/>
        </w:rPr>
        <w:t xml:space="preserve"> </w:t>
      </w:r>
      <w:r>
        <w:t>(+64,9,</w:t>
      </w:r>
      <w:r>
        <w:rPr>
          <w:spacing w:val="19"/>
        </w:rPr>
        <w:t xml:space="preserve"> </w:t>
      </w:r>
      <w:r>
        <w:t>37)</w:t>
      </w:r>
      <w:r>
        <w:rPr>
          <w:spacing w:val="23"/>
        </w:rPr>
        <w:t xml:space="preserve"> </w:t>
      </w:r>
      <w:r>
        <w:t>происшествие,</w:t>
      </w:r>
      <w:r>
        <w:rPr>
          <w:spacing w:val="20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861C41" w:rsidRDefault="00FC5BE2">
      <w:pPr>
        <w:pStyle w:val="a3"/>
        <w:ind w:left="158" w:right="181"/>
        <w:jc w:val="both"/>
      </w:pPr>
      <w:proofErr w:type="gramStart"/>
      <w:r>
        <w:t>результате</w:t>
      </w:r>
      <w:proofErr w:type="gramEnd"/>
      <w:r>
        <w:t xml:space="preserve"> которых 1 ребенок погиб и 60 (+66,7%, 36) подростков получили </w:t>
      </w:r>
      <w:r>
        <w:rPr>
          <w:spacing w:val="-2"/>
        </w:rPr>
        <w:t>травмы.</w:t>
      </w:r>
    </w:p>
    <w:p w:rsidR="00861C41" w:rsidRDefault="00FC5BE2">
      <w:pPr>
        <w:pStyle w:val="a3"/>
        <w:ind w:left="158" w:right="168" w:firstLine="851"/>
        <w:jc w:val="both"/>
      </w:pPr>
      <w:r>
        <w:t>К негативным факторам необходимо отнести и то, что по итогам года отмечен рост количества ДТП по неосторожности детей (+5,0%, с 161 до</w:t>
      </w:r>
      <w:r>
        <w:rPr>
          <w:spacing w:val="40"/>
        </w:rPr>
        <w:t xml:space="preserve"> </w:t>
      </w:r>
      <w:r>
        <w:t xml:space="preserve">169). </w:t>
      </w:r>
      <w:proofErr w:type="gramStart"/>
      <w:r>
        <w:t xml:space="preserve">В целом увеличение подобных происшествий наблюдается в г. Дзержинск, Арзамас, Саров, Бор, Выкса, </w:t>
      </w:r>
      <w:proofErr w:type="spellStart"/>
      <w:r>
        <w:t>Щахунья</w:t>
      </w:r>
      <w:proofErr w:type="spellEnd"/>
      <w:r>
        <w:t>, Варнавинс</w:t>
      </w:r>
      <w:r>
        <w:t xml:space="preserve">ком, Вознесенском, Володарском, Воскресенском, Городецком, </w:t>
      </w:r>
      <w:proofErr w:type="spellStart"/>
      <w:r>
        <w:t>Дивеевском</w:t>
      </w:r>
      <w:proofErr w:type="spellEnd"/>
      <w:r>
        <w:t xml:space="preserve">, </w:t>
      </w:r>
      <w:proofErr w:type="spellStart"/>
      <w:r>
        <w:t>Ковернинском</w:t>
      </w:r>
      <w:proofErr w:type="spellEnd"/>
      <w:r>
        <w:t xml:space="preserve">, </w:t>
      </w:r>
      <w:proofErr w:type="spellStart"/>
      <w:r>
        <w:t>Навашинском</w:t>
      </w:r>
      <w:proofErr w:type="spellEnd"/>
      <w:r>
        <w:t xml:space="preserve">, </w:t>
      </w:r>
      <w:proofErr w:type="spellStart"/>
      <w:r>
        <w:t>Перевозском</w:t>
      </w:r>
      <w:proofErr w:type="spellEnd"/>
      <w:r>
        <w:t xml:space="preserve">, </w:t>
      </w:r>
      <w:proofErr w:type="spellStart"/>
      <w:r>
        <w:t>Сергачском</w:t>
      </w:r>
      <w:proofErr w:type="spellEnd"/>
      <w:r>
        <w:t xml:space="preserve">, Первомайском, </w:t>
      </w:r>
      <w:proofErr w:type="spellStart"/>
      <w:r>
        <w:t>Сеченовском</w:t>
      </w:r>
      <w:proofErr w:type="spellEnd"/>
      <w:r>
        <w:t xml:space="preserve">, Сосновском, Спасском и </w:t>
      </w:r>
      <w:proofErr w:type="spellStart"/>
      <w:r>
        <w:t>Шарангском</w:t>
      </w:r>
      <w:proofErr w:type="spellEnd"/>
      <w:r>
        <w:t xml:space="preserve"> округах.</w:t>
      </w:r>
      <w:bookmarkStart w:id="0" w:name="_GoBack"/>
      <w:bookmarkEnd w:id="0"/>
      <w:proofErr w:type="gramEnd"/>
    </w:p>
    <w:sectPr w:rsidR="00861C41">
      <w:pgSz w:w="11910" w:h="16840"/>
      <w:pgMar w:top="760" w:right="96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70A6A"/>
    <w:multiLevelType w:val="hybridMultilevel"/>
    <w:tmpl w:val="4958410C"/>
    <w:lvl w:ilvl="0" w:tplc="E0BAF768">
      <w:start w:val="1"/>
      <w:numFmt w:val="decimal"/>
      <w:lvlText w:val="%1."/>
      <w:lvlJc w:val="left"/>
      <w:pPr>
        <w:ind w:left="158" w:hanging="4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206ACCC">
      <w:numFmt w:val="bullet"/>
      <w:lvlText w:val="-"/>
      <w:lvlJc w:val="left"/>
      <w:pPr>
        <w:ind w:left="15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FE8CF14">
      <w:numFmt w:val="bullet"/>
      <w:lvlText w:val="•"/>
      <w:lvlJc w:val="left"/>
      <w:pPr>
        <w:ind w:left="2065" w:hanging="164"/>
      </w:pPr>
      <w:rPr>
        <w:rFonts w:hint="default"/>
        <w:lang w:val="ru-RU" w:eastAsia="en-US" w:bidi="ar-SA"/>
      </w:rPr>
    </w:lvl>
    <w:lvl w:ilvl="3" w:tplc="D4E040A4">
      <w:numFmt w:val="bullet"/>
      <w:lvlText w:val="•"/>
      <w:lvlJc w:val="left"/>
      <w:pPr>
        <w:ind w:left="3017" w:hanging="164"/>
      </w:pPr>
      <w:rPr>
        <w:rFonts w:hint="default"/>
        <w:lang w:val="ru-RU" w:eastAsia="en-US" w:bidi="ar-SA"/>
      </w:rPr>
    </w:lvl>
    <w:lvl w:ilvl="4" w:tplc="3048BC68">
      <w:numFmt w:val="bullet"/>
      <w:lvlText w:val="•"/>
      <w:lvlJc w:val="left"/>
      <w:pPr>
        <w:ind w:left="3970" w:hanging="164"/>
      </w:pPr>
      <w:rPr>
        <w:rFonts w:hint="default"/>
        <w:lang w:val="ru-RU" w:eastAsia="en-US" w:bidi="ar-SA"/>
      </w:rPr>
    </w:lvl>
    <w:lvl w:ilvl="5" w:tplc="81E6C07A">
      <w:numFmt w:val="bullet"/>
      <w:lvlText w:val="•"/>
      <w:lvlJc w:val="left"/>
      <w:pPr>
        <w:ind w:left="4923" w:hanging="164"/>
      </w:pPr>
      <w:rPr>
        <w:rFonts w:hint="default"/>
        <w:lang w:val="ru-RU" w:eastAsia="en-US" w:bidi="ar-SA"/>
      </w:rPr>
    </w:lvl>
    <w:lvl w:ilvl="6" w:tplc="8CB8EF56">
      <w:numFmt w:val="bullet"/>
      <w:lvlText w:val="•"/>
      <w:lvlJc w:val="left"/>
      <w:pPr>
        <w:ind w:left="5875" w:hanging="164"/>
      </w:pPr>
      <w:rPr>
        <w:rFonts w:hint="default"/>
        <w:lang w:val="ru-RU" w:eastAsia="en-US" w:bidi="ar-SA"/>
      </w:rPr>
    </w:lvl>
    <w:lvl w:ilvl="7" w:tplc="43BE507C">
      <w:numFmt w:val="bullet"/>
      <w:lvlText w:val="•"/>
      <w:lvlJc w:val="left"/>
      <w:pPr>
        <w:ind w:left="6828" w:hanging="164"/>
      </w:pPr>
      <w:rPr>
        <w:rFonts w:hint="default"/>
        <w:lang w:val="ru-RU" w:eastAsia="en-US" w:bidi="ar-SA"/>
      </w:rPr>
    </w:lvl>
    <w:lvl w:ilvl="8" w:tplc="2FF40E0A">
      <w:numFmt w:val="bullet"/>
      <w:lvlText w:val="•"/>
      <w:lvlJc w:val="left"/>
      <w:pPr>
        <w:ind w:left="7781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1C41"/>
    <w:rsid w:val="00861C41"/>
    <w:rsid w:val="00FC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382" w:right="1234" w:firstLine="2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  <w:pPr>
      <w:ind w:left="158" w:right="168" w:firstLine="85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50"/>
    </w:pPr>
  </w:style>
  <w:style w:type="paragraph" w:styleId="a6">
    <w:name w:val="Balloon Text"/>
    <w:basedOn w:val="a"/>
    <w:link w:val="a7"/>
    <w:uiPriority w:val="99"/>
    <w:semiHidden/>
    <w:unhideWhenUsed/>
    <w:rsid w:val="00FC5B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5BE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382" w:right="1234" w:firstLine="2"/>
      <w:jc w:val="center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  <w:pPr>
      <w:ind w:left="158" w:right="168" w:firstLine="85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50"/>
    </w:pPr>
  </w:style>
  <w:style w:type="paragraph" w:styleId="a6">
    <w:name w:val="Balloon Text"/>
    <w:basedOn w:val="a"/>
    <w:link w:val="a7"/>
    <w:uiPriority w:val="99"/>
    <w:semiHidden/>
    <w:unhideWhenUsed/>
    <w:rsid w:val="00FC5B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5BE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/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cp:lastModifiedBy>user</cp:lastModifiedBy>
  <cp:revision>2</cp:revision>
  <dcterms:created xsi:type="dcterms:W3CDTF">2024-03-20T05:37:00Z</dcterms:created>
  <dcterms:modified xsi:type="dcterms:W3CDTF">2024-03-20T05:37:00Z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2024-03-20T00:00:00Z</vt:filetime>
  </property>
  <property fmtid="{D5CDD505-2E9C-101B-9397-08002B2CF9AE}" pid="5" name="Producer">
    <vt:lpwstr>Microsoft® Word LTSC; modified using iTextSharp™ 5.5.13 ©2000-2018 iText Group NV (AGPL-version)</vt:lpwstr>
  </property>
</Properties>
</file>